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宋体"/>
          <w:bCs/>
          <w:sz w:val="32"/>
          <w:szCs w:val="40"/>
        </w:rPr>
      </w:pPr>
      <w:r>
        <w:rPr>
          <w:rFonts w:hint="eastAsia" w:ascii="黑体" w:hAnsi="黑体" w:eastAsia="黑体" w:cs="宋体"/>
          <w:bCs/>
          <w:sz w:val="32"/>
          <w:szCs w:val="40"/>
        </w:rPr>
        <w:t>附件</w:t>
      </w:r>
      <w:r>
        <w:rPr>
          <w:rFonts w:ascii="黑体" w:hAnsi="黑体" w:eastAsia="黑体" w:cs="宋体"/>
          <w:bCs/>
          <w:sz w:val="32"/>
          <w:szCs w:val="40"/>
        </w:rPr>
        <w:t>2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社会公益领域</w:t>
      </w:r>
      <w:r>
        <w:rPr>
          <w:rFonts w:hint="eastAsia" w:ascii="方正小标宋简体" w:hAnsi="Times New Roman" w:eastAsia="方正小标宋简体"/>
          <w:sz w:val="44"/>
          <w:szCs w:val="44"/>
        </w:rPr>
        <w:t>重点研发和成果转化计划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2023年</w:t>
      </w:r>
      <w:r>
        <w:rPr>
          <w:rFonts w:ascii="方正小标宋简体" w:hAnsi="宋体" w:eastAsia="方正小标宋简体" w:cs="宋体"/>
          <w:bCs/>
          <w:sz w:val="44"/>
          <w:szCs w:val="44"/>
        </w:rPr>
        <w:t>新增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申报指南方向</w:t>
      </w:r>
    </w:p>
    <w:p>
      <w:pPr>
        <w:pStyle w:val="2"/>
        <w:ind w:firstLine="640" w:firstLineChars="200"/>
        <w:rPr>
          <w:rFonts w:hint="default" w:ascii="仿宋_GB2312" w:eastAsia="仿宋_GB2312"/>
          <w:b w:val="0"/>
          <w:sz w:val="32"/>
          <w:szCs w:val="32"/>
        </w:rPr>
      </w:pPr>
    </w:p>
    <w:p>
      <w:pPr>
        <w:pStyle w:val="2"/>
        <w:ind w:firstLine="640" w:firstLineChars="200"/>
        <w:rPr>
          <w:rFonts w:hint="default" w:hAnsi="黑体" w:eastAsia="黑体"/>
          <w:b w:val="0"/>
          <w:sz w:val="32"/>
          <w:szCs w:val="32"/>
        </w:rPr>
      </w:pPr>
      <w:r>
        <w:rPr>
          <w:rFonts w:hAnsi="黑体" w:eastAsia="黑体"/>
          <w:b w:val="0"/>
          <w:sz w:val="32"/>
          <w:szCs w:val="32"/>
        </w:rPr>
        <w:t>一</w:t>
      </w:r>
      <w:r>
        <w:rPr>
          <w:rFonts w:hint="default" w:hAnsi="黑体" w:eastAsia="黑体"/>
          <w:b w:val="0"/>
          <w:sz w:val="32"/>
          <w:szCs w:val="32"/>
        </w:rPr>
        <w:t>、</w:t>
      </w:r>
      <w:r>
        <w:rPr>
          <w:rFonts w:hAnsi="黑体" w:eastAsia="黑体"/>
          <w:b w:val="0"/>
          <w:sz w:val="32"/>
          <w:szCs w:val="32"/>
        </w:rPr>
        <w:t>“两癌”防治</w:t>
      </w:r>
    </w:p>
    <w:p>
      <w:pPr>
        <w:pStyle w:val="2"/>
        <w:ind w:firstLine="640" w:firstLineChars="200"/>
        <w:rPr>
          <w:rFonts w:ascii="仿宋_GB2312" w:eastAsia="仿宋_GB2312"/>
          <w:b w:val="0"/>
          <w:sz w:val="32"/>
          <w:szCs w:val="32"/>
        </w:rPr>
      </w:pPr>
      <w:r>
        <w:rPr>
          <w:rFonts w:ascii="仿宋_GB2312" w:eastAsia="仿宋_GB2312"/>
          <w:b w:val="0"/>
          <w:sz w:val="32"/>
          <w:szCs w:val="32"/>
        </w:rPr>
        <w:t>为贯彻落实《内蒙古自治区妇女儿童发展纲要（2021-2030年）》《2022年内蒙古自治区政府工作报告》关于妇女“两癌”筛查重点任务，按照自治区卫生健康委、自治区科技厅等六部门印发的《内蒙古自治区农村牧区和城镇低保家庭适龄妇女“两癌”筛查项目实施方案》，2023年社会公益领域新增“两癌”防治科技计划项目指南，强化重点人</w:t>
      </w:r>
      <w:r>
        <w:rPr>
          <w:rFonts w:hint="default" w:ascii="仿宋_GB2312" w:eastAsia="仿宋_GB2312"/>
          <w:b w:val="0"/>
          <w:sz w:val="32"/>
          <w:szCs w:val="32"/>
        </w:rPr>
        <w:t>群健康</w:t>
      </w:r>
      <w:r>
        <w:rPr>
          <w:rFonts w:ascii="仿宋_GB2312" w:eastAsia="仿宋_GB2312"/>
          <w:b w:val="0"/>
          <w:sz w:val="32"/>
          <w:szCs w:val="32"/>
        </w:rPr>
        <w:t>的科技支撑与服务。</w:t>
      </w:r>
    </w:p>
    <w:p>
      <w:pPr>
        <w:keepNext/>
        <w:keepLines/>
        <w:spacing w:before="156" w:beforeLines="50" w:after="156" w:afterLines="50" w:line="360" w:lineRule="auto"/>
        <w:ind w:firstLine="643" w:firstLineChars="200"/>
        <w:outlineLvl w:val="1"/>
        <w:rPr>
          <w:rFonts w:ascii="楷体_GB2312" w:hAnsi="楷体" w:eastAsia="楷体_GB2312"/>
          <w:b/>
          <w:bCs/>
          <w:kern w:val="0"/>
          <w:sz w:val="32"/>
          <w:szCs w:val="32"/>
        </w:rPr>
      </w:pPr>
      <w:bookmarkStart w:id="0" w:name="_Toc97826362"/>
      <w:r>
        <w:rPr>
          <w:rFonts w:hint="eastAsia" w:ascii="楷体_GB2312" w:hAnsi="楷体" w:eastAsia="楷体_GB2312"/>
          <w:b/>
          <w:bCs/>
          <w:kern w:val="0"/>
          <w:sz w:val="32"/>
          <w:szCs w:val="32"/>
        </w:rPr>
        <w:t>（一）宫颈癌精准筛查、</w:t>
      </w:r>
      <w:r>
        <w:rPr>
          <w:rFonts w:ascii="楷体_GB2312" w:hAnsi="楷体" w:eastAsia="楷体_GB2312"/>
          <w:b/>
          <w:bCs/>
          <w:kern w:val="0"/>
          <w:sz w:val="32"/>
          <w:szCs w:val="32"/>
        </w:rPr>
        <w:t>风险预测</w:t>
      </w:r>
      <w:r>
        <w:rPr>
          <w:rFonts w:hint="eastAsia" w:ascii="楷体_GB2312" w:hAnsi="楷体" w:eastAsia="楷体_GB2312"/>
          <w:b/>
          <w:bCs/>
          <w:kern w:val="0"/>
          <w:sz w:val="32"/>
          <w:szCs w:val="32"/>
        </w:rPr>
        <w:t>及精准</w:t>
      </w:r>
      <w:r>
        <w:rPr>
          <w:rFonts w:ascii="楷体_GB2312" w:hAnsi="楷体" w:eastAsia="楷体_GB2312"/>
          <w:b/>
          <w:bCs/>
          <w:kern w:val="0"/>
          <w:sz w:val="32"/>
          <w:szCs w:val="32"/>
        </w:rPr>
        <w:t>治疗</w:t>
      </w:r>
      <w:r>
        <w:rPr>
          <w:rFonts w:hint="eastAsia" w:ascii="楷体_GB2312" w:hAnsi="楷体" w:eastAsia="楷体_GB2312"/>
          <w:b/>
          <w:bCs/>
          <w:kern w:val="0"/>
          <w:sz w:val="32"/>
          <w:szCs w:val="32"/>
        </w:rPr>
        <w:t>技术研究</w:t>
      </w:r>
      <w:r>
        <w:rPr>
          <w:rFonts w:ascii="楷体_GB2312" w:hAnsi="楷体" w:eastAsia="楷体_GB2312"/>
          <w:b/>
          <w:bCs/>
          <w:kern w:val="0"/>
          <w:sz w:val="32"/>
          <w:szCs w:val="32"/>
        </w:rPr>
        <w:t>与</w:t>
      </w:r>
      <w:r>
        <w:rPr>
          <w:rFonts w:hint="eastAsia" w:ascii="楷体_GB2312" w:hAnsi="楷体" w:eastAsia="楷体_GB2312"/>
          <w:b/>
          <w:bCs/>
          <w:kern w:val="0"/>
          <w:sz w:val="32"/>
          <w:szCs w:val="32"/>
        </w:rPr>
        <w:t>集成应用</w:t>
      </w:r>
      <w:bookmarkEnd w:id="0"/>
      <w:r>
        <w:rPr>
          <w:rFonts w:hint="eastAsia" w:ascii="楷体_GB2312" w:hAnsi="楷体" w:eastAsia="楷体_GB2312"/>
          <w:b/>
          <w:bCs/>
          <w:kern w:val="0"/>
          <w:sz w:val="32"/>
          <w:szCs w:val="32"/>
        </w:rPr>
        <w:t>研究</w:t>
      </w:r>
      <w:r>
        <w:rPr>
          <w:rFonts w:hint="eastAsia" w:ascii="楷体_GB2312" w:hAnsi="楷体" w:eastAsia="楷体_GB2312"/>
          <w:bCs/>
          <w:kern w:val="0"/>
          <w:sz w:val="32"/>
          <w:szCs w:val="32"/>
        </w:rPr>
        <w:t>（指南代码</w:t>
      </w:r>
      <w:r>
        <w:rPr>
          <w:rFonts w:ascii="楷体_GB2312" w:hAnsi="楷体" w:eastAsia="楷体_GB2312"/>
          <w:bCs/>
          <w:kern w:val="0"/>
          <w:sz w:val="32"/>
          <w:szCs w:val="32"/>
        </w:rPr>
        <w:t>：</w:t>
      </w:r>
      <w:r>
        <w:rPr>
          <w:rFonts w:hint="eastAsia" w:ascii="楷体_GB2312" w:hAnsi="楷体" w:eastAsia="楷体_GB2312"/>
          <w:bCs/>
          <w:kern w:val="0"/>
          <w:sz w:val="32"/>
          <w:szCs w:val="32"/>
        </w:rPr>
        <w:t>2</w:t>
      </w:r>
      <w:r>
        <w:rPr>
          <w:rFonts w:ascii="楷体_GB2312" w:hAnsi="楷体" w:eastAsia="楷体_GB2312"/>
          <w:bCs/>
          <w:kern w:val="0"/>
          <w:sz w:val="32"/>
          <w:szCs w:val="32"/>
        </w:rPr>
        <w:t>3GX</w:t>
      </w:r>
      <w:r>
        <w:rPr>
          <w:rFonts w:hint="eastAsia" w:ascii="楷体_GB2312" w:hAnsi="楷体" w:eastAsia="楷体_GB2312"/>
          <w:bCs/>
          <w:kern w:val="0"/>
          <w:sz w:val="32"/>
          <w:szCs w:val="32"/>
        </w:rPr>
        <w:t>1001）</w:t>
      </w:r>
    </w:p>
    <w:p>
      <w:pPr>
        <w:spacing w:line="360" w:lineRule="auto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研究</w:t>
      </w:r>
      <w:r>
        <w:rPr>
          <w:rFonts w:ascii="仿宋_GB2312" w:eastAsia="仿宋_GB2312"/>
          <w:b/>
          <w:bCs/>
          <w:sz w:val="32"/>
          <w:szCs w:val="32"/>
        </w:rPr>
        <w:t>内容</w:t>
      </w:r>
      <w:r>
        <w:rPr>
          <w:rFonts w:hint="eastAsia" w:ascii="仿宋_GB2312" w:eastAsia="等线"/>
          <w:b/>
          <w:bCs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基于对宫颈癌大规模人群筛查大数据，组织开展宫颈癌的精准筛查研究，分析宫颈癌发病主要亚型特有或主要危险因素，建立风险预测及评估模型，对高危人群开展早期干预，建立“筛查、诊疗、监测一体化干预模式”。</w:t>
      </w:r>
    </w:p>
    <w:p>
      <w:pPr>
        <w:pStyle w:val="2"/>
        <w:ind w:firstLine="643" w:firstLineChars="200"/>
        <w:rPr>
          <w:rFonts w:ascii="仿宋_GB2312" w:eastAsia="仿宋_GB2312"/>
          <w:b w:val="0"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考核</w:t>
      </w:r>
      <w:r>
        <w:rPr>
          <w:rFonts w:hint="default" w:ascii="仿宋_GB2312" w:eastAsia="仿宋_GB2312"/>
          <w:bCs/>
          <w:sz w:val="32"/>
          <w:szCs w:val="32"/>
        </w:rPr>
        <w:t>指标：</w:t>
      </w:r>
      <w:r>
        <w:rPr>
          <w:rFonts w:ascii="仿宋_GB2312" w:eastAsia="仿宋_GB2312"/>
          <w:b w:val="0"/>
          <w:sz w:val="32"/>
          <w:szCs w:val="32"/>
        </w:rPr>
        <w:t>构建长期、稳定的宫颈癌动态监测队列；开展HPV持续感染导致宫颈癌发生的机制研究，筛选宫颈病变组织易感位点，提出HPV感染和宫颈癌前病变靶向治疗新方法1-2项；开展1000例以上宫颈高级别鳞状上皮内病变转归的相关因素研究，提出相应的随访方案及干预措施。</w:t>
      </w:r>
    </w:p>
    <w:p>
      <w:pPr>
        <w:pStyle w:val="2"/>
        <w:ind w:firstLine="643" w:firstLineChars="20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支持额度</w:t>
      </w:r>
      <w:r>
        <w:rPr>
          <w:rFonts w:hint="default" w:ascii="仿宋_GB2312" w:eastAsia="仿宋_GB2312"/>
          <w:bCs/>
          <w:sz w:val="32"/>
          <w:szCs w:val="32"/>
        </w:rPr>
        <w:t>：</w:t>
      </w:r>
      <w:r>
        <w:rPr>
          <w:rFonts w:ascii="仿宋_GB2312" w:eastAsia="仿宋_GB2312"/>
          <w:b w:val="0"/>
          <w:bCs/>
          <w:sz w:val="32"/>
          <w:szCs w:val="32"/>
        </w:rPr>
        <w:t>100万</w:t>
      </w:r>
      <w:r>
        <w:rPr>
          <w:rFonts w:hint="default" w:ascii="仿宋_GB2312" w:eastAsia="仿宋_GB2312"/>
          <w:b w:val="0"/>
          <w:bCs/>
          <w:sz w:val="32"/>
          <w:szCs w:val="32"/>
        </w:rPr>
        <w:t>元</w:t>
      </w:r>
    </w:p>
    <w:p>
      <w:pPr>
        <w:pStyle w:val="2"/>
        <w:ind w:firstLine="643" w:firstLineChars="200"/>
        <w:rPr>
          <w:rFonts w:ascii="仿宋_GB2312" w:eastAsia="仿宋_GB2312"/>
          <w:b w:val="0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有</w:t>
      </w:r>
      <w:r>
        <w:rPr>
          <w:rFonts w:hint="default" w:ascii="仿宋_GB2312" w:eastAsia="仿宋_GB2312"/>
          <w:bCs/>
          <w:sz w:val="32"/>
          <w:szCs w:val="32"/>
        </w:rPr>
        <w:t>关说明</w:t>
      </w:r>
      <w:r>
        <w:rPr>
          <w:rFonts w:ascii="仿宋_GB2312" w:eastAsia="仿宋_GB2312"/>
          <w:bCs/>
          <w:sz w:val="32"/>
          <w:szCs w:val="32"/>
        </w:rPr>
        <w:t>：</w:t>
      </w:r>
      <w:r>
        <w:rPr>
          <w:rFonts w:hint="default" w:ascii="仿宋_GB2312" w:eastAsia="仿宋_GB2312"/>
          <w:b w:val="0"/>
          <w:bCs/>
          <w:sz w:val="32"/>
          <w:szCs w:val="32"/>
        </w:rPr>
        <w:t>由自治区卫生健康委员会组织推荐，限</w:t>
      </w:r>
      <w:r>
        <w:rPr>
          <w:rFonts w:ascii="仿宋_GB2312" w:eastAsia="仿宋_GB2312"/>
          <w:b w:val="0"/>
          <w:bCs/>
          <w:sz w:val="32"/>
          <w:szCs w:val="32"/>
        </w:rPr>
        <w:t>推荐1项。项目申报须涵盖全部研究内容和考核指标。</w:t>
      </w:r>
    </w:p>
    <w:p>
      <w:pPr>
        <w:keepNext/>
        <w:keepLines/>
        <w:spacing w:before="156" w:beforeLines="50" w:after="156" w:afterLines="50" w:line="360" w:lineRule="auto"/>
        <w:ind w:firstLine="643" w:firstLineChars="200"/>
        <w:outlineLvl w:val="1"/>
        <w:rPr>
          <w:rFonts w:ascii="楷体_GB2312" w:hAnsi="楷体" w:eastAsia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kern w:val="0"/>
          <w:sz w:val="32"/>
          <w:szCs w:val="32"/>
        </w:rPr>
        <w:t>（二）乳腺癌规范化早筛早诊早治关键技术研究</w:t>
      </w:r>
      <w:r>
        <w:rPr>
          <w:rFonts w:hint="eastAsia" w:ascii="楷体_GB2312" w:hAnsi="楷体" w:eastAsia="楷体_GB2312"/>
          <w:bCs/>
          <w:kern w:val="0"/>
          <w:sz w:val="32"/>
          <w:szCs w:val="32"/>
        </w:rPr>
        <w:t>（指南代码：23</w:t>
      </w:r>
      <w:r>
        <w:rPr>
          <w:rFonts w:ascii="楷体_GB2312" w:hAnsi="楷体" w:eastAsia="楷体_GB2312"/>
          <w:bCs/>
          <w:kern w:val="0"/>
          <w:sz w:val="32"/>
          <w:szCs w:val="32"/>
        </w:rPr>
        <w:t>GX</w:t>
      </w:r>
      <w:r>
        <w:rPr>
          <w:rFonts w:hint="eastAsia" w:ascii="楷体_GB2312" w:hAnsi="楷体" w:eastAsia="楷体_GB2312"/>
          <w:bCs/>
          <w:kern w:val="0"/>
          <w:sz w:val="32"/>
          <w:szCs w:val="32"/>
        </w:rPr>
        <w:t>100</w:t>
      </w:r>
      <w:r>
        <w:rPr>
          <w:rFonts w:ascii="楷体_GB2312" w:hAnsi="楷体" w:eastAsia="楷体_GB2312"/>
          <w:bCs/>
          <w:kern w:val="0"/>
          <w:sz w:val="32"/>
          <w:szCs w:val="32"/>
        </w:rPr>
        <w:t>2</w:t>
      </w:r>
      <w:r>
        <w:rPr>
          <w:rFonts w:hint="eastAsia" w:ascii="楷体_GB2312" w:hAnsi="楷体" w:eastAsia="楷体_GB2312"/>
          <w:bCs/>
          <w:kern w:val="0"/>
          <w:sz w:val="32"/>
          <w:szCs w:val="32"/>
        </w:rPr>
        <w:t>）</w:t>
      </w:r>
    </w:p>
    <w:p>
      <w:pPr>
        <w:spacing w:line="360" w:lineRule="auto"/>
        <w:ind w:firstLine="643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研究</w:t>
      </w:r>
      <w:r>
        <w:rPr>
          <w:rFonts w:ascii="仿宋_GB2312" w:eastAsia="仿宋_GB2312"/>
          <w:b/>
          <w:bCs/>
          <w:sz w:val="32"/>
          <w:szCs w:val="32"/>
        </w:rPr>
        <w:t>内容：</w:t>
      </w:r>
      <w:r>
        <w:rPr>
          <w:rFonts w:hint="eastAsia" w:ascii="仿宋_GB2312" w:eastAsia="仿宋_GB2312"/>
          <w:bCs/>
          <w:sz w:val="32"/>
          <w:szCs w:val="32"/>
        </w:rPr>
        <w:t>基于乳腺癌大规模人群筛查及专病队列，整合高质量的流行病学、早筛、早诊、早治和随访大数据，研究乳腺癌患病的动态监控、智能预警、早期干预和精准预防策略，开展基于生物标志物和影像学的早期诊断新技术及产品开发。开展早期治疗新技术的开发与评估研究，提升患者生存率和生存质量。</w:t>
      </w:r>
    </w:p>
    <w:p>
      <w:pPr>
        <w:pStyle w:val="2"/>
        <w:ind w:firstLine="643" w:firstLineChars="200"/>
        <w:rPr>
          <w:rFonts w:hint="default" w:ascii="仿宋_GB2312" w:eastAsia="仿宋_GB2312"/>
          <w:b w:val="0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考核</w:t>
      </w:r>
      <w:r>
        <w:rPr>
          <w:rFonts w:hint="default" w:ascii="仿宋_GB2312" w:eastAsia="仿宋_GB2312"/>
          <w:bCs/>
          <w:sz w:val="32"/>
          <w:szCs w:val="32"/>
        </w:rPr>
        <w:t>指标：</w:t>
      </w:r>
      <w:r>
        <w:rPr>
          <w:rFonts w:ascii="仿宋_GB2312" w:eastAsia="仿宋_GB2312"/>
          <w:b w:val="0"/>
          <w:bCs/>
          <w:sz w:val="32"/>
          <w:szCs w:val="32"/>
        </w:rPr>
        <w:t>制定与国家标准接轨的自治区级乳腺癌早筛、早诊、早治规范化诊疗方案；建立高风险因素的早期行为干预管理措施；鉴定早期乳腺恶性肿瘤诊断标志物（谱）1-2项；开发基于生物标志物或影像学的早期诊断新技术或产品1-2项；建立乳腺癌抗肿瘤防治新策略1-2项。</w:t>
      </w:r>
    </w:p>
    <w:p>
      <w:pPr>
        <w:pStyle w:val="2"/>
        <w:ind w:firstLine="643" w:firstLineChars="20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支持额度</w:t>
      </w:r>
      <w:r>
        <w:rPr>
          <w:rFonts w:hint="default" w:ascii="仿宋_GB2312" w:eastAsia="仿宋_GB2312"/>
          <w:bCs/>
          <w:sz w:val="32"/>
          <w:szCs w:val="32"/>
        </w:rPr>
        <w:t>：</w:t>
      </w:r>
      <w:r>
        <w:rPr>
          <w:rFonts w:ascii="仿宋_GB2312" w:eastAsia="仿宋_GB2312"/>
          <w:b w:val="0"/>
          <w:bCs/>
          <w:sz w:val="32"/>
          <w:szCs w:val="32"/>
        </w:rPr>
        <w:t>100万</w:t>
      </w:r>
      <w:r>
        <w:rPr>
          <w:rFonts w:hint="default" w:ascii="仿宋_GB2312" w:eastAsia="仿宋_GB2312"/>
          <w:b w:val="0"/>
          <w:bCs/>
          <w:sz w:val="32"/>
          <w:szCs w:val="32"/>
        </w:rPr>
        <w:t>元</w:t>
      </w:r>
    </w:p>
    <w:p>
      <w:pPr>
        <w:pStyle w:val="2"/>
        <w:ind w:firstLine="643" w:firstLineChars="200"/>
        <w:rPr>
          <w:rFonts w:ascii="仿宋_GB2312" w:eastAsia="仿宋_GB2312"/>
          <w:b w:val="0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有</w:t>
      </w:r>
      <w:r>
        <w:rPr>
          <w:rFonts w:hint="default" w:ascii="仿宋_GB2312" w:eastAsia="仿宋_GB2312"/>
          <w:bCs/>
          <w:sz w:val="32"/>
          <w:szCs w:val="32"/>
        </w:rPr>
        <w:t>关说明</w:t>
      </w:r>
      <w:r>
        <w:rPr>
          <w:rFonts w:ascii="仿宋_GB2312" w:eastAsia="仿宋_GB2312"/>
          <w:bCs/>
          <w:sz w:val="32"/>
          <w:szCs w:val="32"/>
        </w:rPr>
        <w:t>：</w:t>
      </w:r>
      <w:r>
        <w:rPr>
          <w:rFonts w:hint="default" w:ascii="仿宋_GB2312" w:eastAsia="仿宋_GB2312"/>
          <w:b w:val="0"/>
          <w:bCs/>
          <w:sz w:val="32"/>
          <w:szCs w:val="32"/>
        </w:rPr>
        <w:t>由自治区卫生健康委员会组织推荐，限</w:t>
      </w:r>
      <w:r>
        <w:rPr>
          <w:rFonts w:ascii="仿宋_GB2312" w:eastAsia="仿宋_GB2312"/>
          <w:b w:val="0"/>
          <w:bCs/>
          <w:sz w:val="32"/>
          <w:szCs w:val="32"/>
        </w:rPr>
        <w:t>推荐1项。项目申报须涵盖全部研究内容和考核指标。</w:t>
      </w:r>
    </w:p>
    <w:p>
      <w:pPr>
        <w:pStyle w:val="2"/>
        <w:ind w:firstLine="640" w:firstLineChars="200"/>
        <w:rPr>
          <w:rFonts w:hint="default" w:hAnsi="黑体" w:eastAsia="黑体"/>
          <w:b w:val="0"/>
          <w:bCs/>
          <w:sz w:val="32"/>
          <w:szCs w:val="32"/>
        </w:rPr>
      </w:pPr>
    </w:p>
    <w:p>
      <w:pPr>
        <w:pStyle w:val="2"/>
        <w:ind w:firstLine="640" w:firstLineChars="200"/>
        <w:rPr>
          <w:rFonts w:hAnsi="黑体" w:eastAsia="黑体"/>
          <w:b w:val="0"/>
          <w:bCs/>
          <w:sz w:val="32"/>
          <w:szCs w:val="32"/>
        </w:rPr>
      </w:pPr>
      <w:r>
        <w:rPr>
          <w:rFonts w:hAnsi="黑体" w:eastAsia="黑体"/>
          <w:b w:val="0"/>
          <w:bCs/>
          <w:sz w:val="32"/>
          <w:szCs w:val="32"/>
        </w:rPr>
        <w:t>二</w:t>
      </w:r>
      <w:r>
        <w:rPr>
          <w:rFonts w:hint="default" w:hAnsi="黑体" w:eastAsia="黑体"/>
          <w:b w:val="0"/>
          <w:bCs/>
          <w:sz w:val="32"/>
          <w:szCs w:val="32"/>
        </w:rPr>
        <w:t>、</w:t>
      </w:r>
      <w:r>
        <w:rPr>
          <w:rFonts w:hAnsi="黑体" w:eastAsia="黑体"/>
          <w:b w:val="0"/>
          <w:bCs/>
          <w:sz w:val="32"/>
          <w:szCs w:val="32"/>
        </w:rPr>
        <w:t>技术标准</w:t>
      </w:r>
    </w:p>
    <w:p>
      <w:pPr>
        <w:pStyle w:val="2"/>
        <w:ind w:firstLine="640" w:firstLineChars="200"/>
        <w:rPr>
          <w:rFonts w:ascii="仿宋_GB2312" w:eastAsia="仿宋_GB2312"/>
          <w:b w:val="0"/>
          <w:bCs/>
          <w:sz w:val="32"/>
          <w:szCs w:val="32"/>
        </w:rPr>
      </w:pPr>
      <w:r>
        <w:rPr>
          <w:rFonts w:ascii="仿宋_GB2312" w:eastAsia="仿宋_GB2312"/>
          <w:b w:val="0"/>
          <w:bCs/>
          <w:sz w:val="32"/>
          <w:szCs w:val="32"/>
        </w:rPr>
        <w:t>为</w:t>
      </w:r>
      <w:r>
        <w:rPr>
          <w:rFonts w:hint="default" w:ascii="仿宋_GB2312" w:eastAsia="仿宋_GB2312"/>
          <w:b w:val="0"/>
          <w:bCs/>
          <w:sz w:val="32"/>
          <w:szCs w:val="32"/>
        </w:rPr>
        <w:t>贯彻</w:t>
      </w:r>
      <w:r>
        <w:rPr>
          <w:rFonts w:ascii="仿宋_GB2312" w:eastAsia="仿宋_GB2312"/>
          <w:b w:val="0"/>
          <w:bCs/>
          <w:sz w:val="32"/>
          <w:szCs w:val="32"/>
        </w:rPr>
        <w:t>落实《内蒙古自治区</w:t>
      </w:r>
      <w:r>
        <w:rPr>
          <w:rFonts w:hint="default" w:ascii="仿宋_GB2312" w:eastAsia="仿宋_GB2312"/>
          <w:b w:val="0"/>
          <w:bCs/>
          <w:sz w:val="32"/>
          <w:szCs w:val="32"/>
        </w:rPr>
        <w:t>党委</w:t>
      </w:r>
      <w:r>
        <w:rPr>
          <w:rFonts w:ascii="仿宋_GB2312" w:eastAsia="仿宋_GB2312"/>
          <w:b w:val="0"/>
          <w:bCs/>
          <w:sz w:val="32"/>
          <w:szCs w:val="32"/>
        </w:rPr>
        <w:t xml:space="preserve"> 自治区</w:t>
      </w:r>
      <w:r>
        <w:rPr>
          <w:rFonts w:hint="default" w:ascii="仿宋_GB2312" w:eastAsia="仿宋_GB2312"/>
          <w:b w:val="0"/>
          <w:bCs/>
          <w:sz w:val="32"/>
          <w:szCs w:val="32"/>
        </w:rPr>
        <w:t>人民政府关于印发</w:t>
      </w:r>
      <w:r>
        <w:rPr>
          <w:rFonts w:ascii="仿宋_GB2312" w:eastAsia="仿宋_GB2312"/>
          <w:b w:val="0"/>
          <w:bCs/>
          <w:sz w:val="32"/>
          <w:szCs w:val="32"/>
        </w:rPr>
        <w:t>〈贯彻落实《国家</w:t>
      </w:r>
      <w:r>
        <w:rPr>
          <w:rFonts w:hint="default" w:ascii="仿宋_GB2312" w:eastAsia="仿宋_GB2312"/>
          <w:b w:val="0"/>
          <w:bCs/>
          <w:sz w:val="32"/>
          <w:szCs w:val="32"/>
        </w:rPr>
        <w:t>标准化发展纲要</w:t>
      </w:r>
      <w:r>
        <w:rPr>
          <w:rFonts w:ascii="仿宋_GB2312" w:eastAsia="仿宋_GB2312"/>
          <w:b w:val="0"/>
          <w:bCs/>
          <w:sz w:val="32"/>
          <w:szCs w:val="32"/>
        </w:rPr>
        <w:t>》实施方案〉的</w:t>
      </w:r>
      <w:r>
        <w:rPr>
          <w:rFonts w:hint="default" w:ascii="仿宋_GB2312" w:eastAsia="仿宋_GB2312"/>
          <w:b w:val="0"/>
          <w:bCs/>
          <w:sz w:val="32"/>
          <w:szCs w:val="32"/>
        </w:rPr>
        <w:t>通知</w:t>
      </w:r>
      <w:r>
        <w:rPr>
          <w:rFonts w:ascii="仿宋_GB2312" w:eastAsia="仿宋_GB2312"/>
          <w:b w:val="0"/>
          <w:bCs/>
          <w:sz w:val="32"/>
          <w:szCs w:val="32"/>
        </w:rPr>
        <w:t>》，新增</w:t>
      </w:r>
      <w:r>
        <w:rPr>
          <w:rFonts w:hint="default" w:ascii="仿宋_GB2312" w:eastAsia="仿宋_GB2312"/>
          <w:b w:val="0"/>
          <w:bCs/>
          <w:sz w:val="32"/>
          <w:szCs w:val="32"/>
        </w:rPr>
        <w:t>如下指南方向。</w:t>
      </w:r>
    </w:p>
    <w:p>
      <w:pPr>
        <w:keepNext/>
        <w:keepLines/>
        <w:spacing w:before="156" w:beforeLines="50" w:after="156" w:afterLines="50" w:line="360" w:lineRule="auto"/>
        <w:ind w:firstLine="643" w:firstLineChars="200"/>
        <w:outlineLvl w:val="1"/>
        <w:rPr>
          <w:rFonts w:ascii="楷体_GB2312" w:hAnsi="楷体" w:eastAsia="楷体_GB2312"/>
          <w:b/>
          <w:bCs/>
          <w:kern w:val="0"/>
          <w:sz w:val="32"/>
          <w:szCs w:val="32"/>
        </w:rPr>
      </w:pPr>
      <w:r>
        <w:rPr>
          <w:rFonts w:ascii="楷体_GB2312" w:hAnsi="楷体" w:eastAsia="楷体_GB2312"/>
          <w:b/>
          <w:bCs/>
          <w:kern w:val="0"/>
          <w:sz w:val="32"/>
          <w:szCs w:val="32"/>
        </w:rPr>
        <w:t>(</w:t>
      </w:r>
      <w:r>
        <w:rPr>
          <w:rFonts w:hint="eastAsia" w:ascii="楷体_GB2312" w:hAnsi="楷体" w:eastAsia="楷体_GB2312"/>
          <w:b/>
          <w:bCs/>
          <w:kern w:val="0"/>
          <w:sz w:val="32"/>
          <w:szCs w:val="32"/>
        </w:rPr>
        <w:t>一</w:t>
      </w:r>
      <w:r>
        <w:rPr>
          <w:rFonts w:ascii="楷体_GB2312" w:hAnsi="楷体" w:eastAsia="楷体_GB2312"/>
          <w:b/>
          <w:bCs/>
          <w:kern w:val="0"/>
          <w:sz w:val="32"/>
          <w:szCs w:val="32"/>
        </w:rPr>
        <w:t>)</w:t>
      </w:r>
      <w:r>
        <w:rPr>
          <w:rFonts w:hint="eastAsia" w:ascii="楷体_GB2312" w:hAnsi="楷体" w:eastAsia="楷体_GB2312"/>
          <w:b/>
          <w:bCs/>
          <w:kern w:val="0"/>
          <w:sz w:val="32"/>
          <w:szCs w:val="32"/>
          <w:lang w:eastAsia="zh-CN"/>
        </w:rPr>
        <w:t>共性关键技术标准研究</w:t>
      </w:r>
      <w:r>
        <w:rPr>
          <w:rFonts w:hint="eastAsia" w:ascii="楷体_GB2312" w:hAnsi="楷体" w:eastAsia="楷体_GB2312"/>
          <w:bCs/>
          <w:kern w:val="0"/>
          <w:sz w:val="32"/>
          <w:szCs w:val="32"/>
        </w:rPr>
        <w:t>（指南代码：23</w:t>
      </w:r>
      <w:r>
        <w:rPr>
          <w:rFonts w:ascii="楷体_GB2312" w:hAnsi="楷体" w:eastAsia="楷体_GB2312"/>
          <w:bCs/>
          <w:kern w:val="0"/>
          <w:sz w:val="32"/>
          <w:szCs w:val="32"/>
        </w:rPr>
        <w:t>GX2001</w:t>
      </w:r>
      <w:r>
        <w:rPr>
          <w:rFonts w:hint="eastAsia" w:ascii="楷体_GB2312" w:hAnsi="楷体" w:eastAsia="楷体_GB2312"/>
          <w:bCs/>
          <w:kern w:val="0"/>
          <w:sz w:val="32"/>
          <w:szCs w:val="32"/>
        </w:rPr>
        <w:t>）</w:t>
      </w:r>
    </w:p>
    <w:p>
      <w:pPr>
        <w:pStyle w:val="2"/>
        <w:ind w:firstLine="803" w:firstLineChars="250"/>
        <w:rPr>
          <w:rFonts w:hint="default" w:ascii="仿宋_GB2312" w:eastAsia="仿宋_GB2312"/>
          <w:b w:val="0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研究目标</w:t>
      </w:r>
      <w:r>
        <w:rPr>
          <w:rFonts w:hint="default" w:ascii="仿宋_GB2312" w:eastAsia="仿宋_GB2312"/>
          <w:bCs/>
          <w:sz w:val="32"/>
          <w:szCs w:val="32"/>
        </w:rPr>
        <w:t>：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立足两个屏障、两个基地、一个桥头堡战略定位，</w:t>
      </w:r>
      <w:r>
        <w:rPr>
          <w:rFonts w:hint="default" w:ascii="仿宋_GB2312" w:eastAsia="仿宋_GB2312"/>
          <w:b w:val="0"/>
          <w:bCs/>
          <w:sz w:val="32"/>
          <w:szCs w:val="32"/>
        </w:rPr>
        <w:t>强化标准研究与技术研发同步，制定国际、国家、行业、地方及团体等各层级技术标准，发挥技术标准对产业发展的引领作用。</w:t>
      </w:r>
    </w:p>
    <w:p>
      <w:pPr>
        <w:spacing w:line="360" w:lineRule="auto"/>
        <w:ind w:firstLine="643" w:firstLineChars="200"/>
        <w:rPr>
          <w:rFonts w:hint="eastAsia" w:ascii="仿宋_GB2312" w:hAnsi="Calibri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b/>
          <w:bCs/>
          <w:sz w:val="32"/>
          <w:szCs w:val="32"/>
          <w:lang w:val="en-US" w:eastAsia="zh-CN"/>
        </w:rPr>
        <w:t>研究内容：</w:t>
      </w:r>
      <w:r>
        <w:rPr>
          <w:rFonts w:hint="default" w:ascii="仿宋_GB2312" w:hAnsi="Calibri" w:eastAsia="仿宋_GB2312" w:cs="Times New Roman"/>
          <w:b w:val="0"/>
          <w:bCs w:val="0"/>
          <w:sz w:val="32"/>
          <w:szCs w:val="32"/>
        </w:rPr>
        <w:t>聚焦</w:t>
      </w:r>
      <w:r>
        <w:rPr>
          <w:rFonts w:hint="eastAsia" w:ascii="仿宋_GB2312" w:hAnsi="Calibri" w:eastAsia="仿宋_GB2312" w:cs="Times New Roman"/>
          <w:b w:val="0"/>
          <w:bCs w:val="0"/>
          <w:sz w:val="32"/>
          <w:szCs w:val="32"/>
          <w:lang w:eastAsia="zh-CN"/>
        </w:rPr>
        <w:t>自治区八大产业集群、十二条重点产业链发展中的关键共性技术，开展技术标准研究。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支持额度：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单个项目不超过</w:t>
      </w:r>
      <w:r>
        <w:rPr>
          <w:rFonts w:hint="eastAsia" w:ascii="仿宋_GB2312" w:eastAsia="仿宋_GB2312"/>
          <w:bCs/>
          <w:sz w:val="32"/>
          <w:szCs w:val="32"/>
        </w:rPr>
        <w:t>30万元</w:t>
      </w:r>
    </w:p>
    <w:p>
      <w:pPr>
        <w:keepNext/>
        <w:keepLines/>
        <w:spacing w:before="156" w:beforeLines="50" w:after="156" w:afterLines="50" w:line="360" w:lineRule="auto"/>
        <w:ind w:firstLine="643" w:firstLineChars="200"/>
        <w:outlineLvl w:val="1"/>
        <w:rPr>
          <w:rFonts w:ascii="楷体_GB2312" w:hAnsi="楷体" w:eastAsia="楷体_GB2312"/>
          <w:b/>
          <w:bCs/>
          <w:kern w:val="0"/>
          <w:sz w:val="32"/>
          <w:szCs w:val="32"/>
        </w:rPr>
      </w:pPr>
      <w:r>
        <w:rPr>
          <w:rFonts w:ascii="楷体_GB2312" w:hAnsi="楷体" w:eastAsia="楷体_GB2312"/>
          <w:b/>
          <w:bCs/>
          <w:kern w:val="0"/>
          <w:sz w:val="32"/>
          <w:szCs w:val="32"/>
        </w:rPr>
        <w:t>（</w:t>
      </w:r>
      <w:r>
        <w:rPr>
          <w:rFonts w:hint="eastAsia" w:ascii="楷体_GB2312" w:hAnsi="楷体" w:eastAsia="楷体_GB2312"/>
          <w:b/>
          <w:bCs/>
          <w:kern w:val="0"/>
          <w:sz w:val="32"/>
          <w:szCs w:val="32"/>
        </w:rPr>
        <w:t>二</w:t>
      </w:r>
      <w:r>
        <w:rPr>
          <w:rFonts w:ascii="楷体_GB2312" w:hAnsi="楷体" w:eastAsia="楷体_GB2312"/>
          <w:b/>
          <w:bCs/>
          <w:kern w:val="0"/>
          <w:sz w:val="32"/>
          <w:szCs w:val="32"/>
        </w:rPr>
        <w:t>）产业</w:t>
      </w:r>
      <w:r>
        <w:rPr>
          <w:rFonts w:hint="eastAsia" w:ascii="楷体_GB2312" w:hAnsi="楷体" w:eastAsia="楷体_GB2312"/>
          <w:b/>
          <w:bCs/>
          <w:kern w:val="0"/>
          <w:sz w:val="32"/>
          <w:szCs w:val="32"/>
          <w:lang w:eastAsia="zh-CN"/>
        </w:rPr>
        <w:t>前瞻性</w:t>
      </w:r>
      <w:r>
        <w:rPr>
          <w:rFonts w:ascii="楷体_GB2312" w:hAnsi="楷体" w:eastAsia="楷体_GB2312"/>
          <w:b/>
          <w:bCs/>
          <w:kern w:val="0"/>
          <w:sz w:val="32"/>
          <w:szCs w:val="32"/>
        </w:rPr>
        <w:t>技术</w:t>
      </w:r>
      <w:r>
        <w:rPr>
          <w:rFonts w:hint="eastAsia" w:ascii="楷体_GB2312" w:hAnsi="楷体" w:eastAsia="楷体_GB2312"/>
          <w:b/>
          <w:bCs/>
          <w:kern w:val="0"/>
          <w:sz w:val="32"/>
          <w:szCs w:val="32"/>
          <w:lang w:eastAsia="zh-CN"/>
        </w:rPr>
        <w:t>标准体系研究</w:t>
      </w:r>
      <w:r>
        <w:rPr>
          <w:rFonts w:hint="eastAsia" w:ascii="楷体_GB2312" w:hAnsi="楷体" w:eastAsia="楷体_GB2312"/>
          <w:bCs/>
          <w:kern w:val="0"/>
          <w:sz w:val="32"/>
          <w:szCs w:val="32"/>
        </w:rPr>
        <w:t>（指南代码：23</w:t>
      </w:r>
      <w:r>
        <w:rPr>
          <w:rFonts w:ascii="楷体_GB2312" w:hAnsi="楷体" w:eastAsia="楷体_GB2312"/>
          <w:bCs/>
          <w:kern w:val="0"/>
          <w:sz w:val="32"/>
          <w:szCs w:val="32"/>
        </w:rPr>
        <w:t>GX2002</w:t>
      </w:r>
      <w:r>
        <w:rPr>
          <w:rFonts w:hint="eastAsia" w:ascii="楷体_GB2312" w:hAnsi="楷体" w:eastAsia="楷体_GB2312"/>
          <w:bCs/>
          <w:kern w:val="0"/>
          <w:sz w:val="32"/>
          <w:szCs w:val="32"/>
        </w:rPr>
        <w:t>）</w:t>
      </w:r>
    </w:p>
    <w:p>
      <w:pPr>
        <w:pStyle w:val="2"/>
        <w:ind w:firstLine="803" w:firstLineChars="250"/>
        <w:rPr>
          <w:rFonts w:hint="eastAsia" w:ascii="仿宋_GB2312" w:eastAsia="仿宋_GB2312"/>
          <w:b w:val="0"/>
          <w:bCs/>
          <w:sz w:val="32"/>
          <w:szCs w:val="32"/>
          <w:lang w:eastAsia="zh-CN"/>
        </w:rPr>
      </w:pPr>
      <w:r>
        <w:rPr>
          <w:rFonts w:ascii="仿宋_GB2312" w:eastAsia="仿宋_GB2312"/>
          <w:bCs/>
          <w:sz w:val="32"/>
          <w:szCs w:val="32"/>
        </w:rPr>
        <w:t>研究目标</w:t>
      </w:r>
      <w:r>
        <w:rPr>
          <w:rFonts w:hint="default" w:ascii="仿宋_GB2312" w:eastAsia="仿宋_GB2312"/>
          <w:bCs/>
          <w:sz w:val="32"/>
          <w:szCs w:val="32"/>
        </w:rPr>
        <w:t>：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聚焦关键基础材料、核心软件、诊疗规范</w:t>
      </w:r>
      <w:bookmarkStart w:id="1" w:name="_GoBack"/>
      <w:bookmarkEnd w:id="1"/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、高性能系统等，开展规范研制、制备、使用等重要环节的技术标准体系研究。</w:t>
      </w:r>
    </w:p>
    <w:p>
      <w:pPr>
        <w:pStyle w:val="2"/>
        <w:ind w:firstLine="803" w:firstLineChars="250"/>
        <w:rPr>
          <w:rFonts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hAnsi="Calibri" w:eastAsia="仿宋_GB2312" w:cs="Times New Roman"/>
          <w:b/>
          <w:bCs/>
          <w:sz w:val="32"/>
          <w:szCs w:val="32"/>
          <w:lang w:val="en-US" w:eastAsia="zh-CN"/>
        </w:rPr>
        <w:t>研究内容：</w:t>
      </w:r>
      <w:r>
        <w:rPr>
          <w:rFonts w:ascii="仿宋_GB2312" w:eastAsia="仿宋_GB2312"/>
          <w:b w:val="0"/>
          <w:bCs/>
          <w:sz w:val="32"/>
          <w:szCs w:val="32"/>
        </w:rPr>
        <w:t>重点支持</w:t>
      </w:r>
      <w:r>
        <w:rPr>
          <w:rFonts w:hint="default" w:ascii="仿宋_GB2312" w:eastAsia="仿宋_GB2312"/>
          <w:b w:val="0"/>
          <w:bCs/>
          <w:sz w:val="32"/>
          <w:szCs w:val="32"/>
        </w:rPr>
        <w:t>两</w:t>
      </w:r>
      <w:r>
        <w:rPr>
          <w:rFonts w:ascii="仿宋_GB2312" w:eastAsia="仿宋_GB2312"/>
          <w:b w:val="0"/>
          <w:bCs/>
          <w:sz w:val="32"/>
          <w:szCs w:val="32"/>
        </w:rPr>
        <w:t>化</w:t>
      </w:r>
      <w:r>
        <w:rPr>
          <w:rFonts w:hint="default" w:ascii="仿宋_GB2312" w:eastAsia="仿宋_GB2312"/>
          <w:b w:val="0"/>
          <w:bCs/>
          <w:sz w:val="32"/>
          <w:szCs w:val="32"/>
        </w:rPr>
        <w:t>融合、新一代信息技术、大数据、区块链、卫生健康、新能源、新材料等应用前景广阔的技术领域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,开展覆盖全生命周期、上下游协同的标准体系研究</w:t>
      </w:r>
      <w:r>
        <w:rPr>
          <w:rFonts w:hint="default" w:ascii="仿宋_GB2312" w:eastAsia="仿宋_GB2312"/>
          <w:b w:val="0"/>
          <w:bCs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支持额度：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单个项目不超过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Cs/>
          <w:sz w:val="32"/>
          <w:szCs w:val="32"/>
        </w:rPr>
        <w:t>0万元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汉仪中宋简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5NzdiNDVkODI5MGZlZTVhOGYyMGIxNDdhZWNiOWEifQ=="/>
  </w:docVars>
  <w:rsids>
    <w:rsidRoot w:val="00821E82"/>
    <w:rsid w:val="00015FA5"/>
    <w:rsid w:val="00021A43"/>
    <w:rsid w:val="000F1DE5"/>
    <w:rsid w:val="00174398"/>
    <w:rsid w:val="00175139"/>
    <w:rsid w:val="001A2873"/>
    <w:rsid w:val="001A5B5B"/>
    <w:rsid w:val="00205C79"/>
    <w:rsid w:val="00217D8D"/>
    <w:rsid w:val="00223CE1"/>
    <w:rsid w:val="00277DAF"/>
    <w:rsid w:val="00291FA8"/>
    <w:rsid w:val="002E7753"/>
    <w:rsid w:val="0031586C"/>
    <w:rsid w:val="00340FA6"/>
    <w:rsid w:val="00362428"/>
    <w:rsid w:val="003A1A2B"/>
    <w:rsid w:val="003B1FA2"/>
    <w:rsid w:val="003C2352"/>
    <w:rsid w:val="003E3C69"/>
    <w:rsid w:val="003F324F"/>
    <w:rsid w:val="00452F0F"/>
    <w:rsid w:val="00490280"/>
    <w:rsid w:val="0049276F"/>
    <w:rsid w:val="004B6CD8"/>
    <w:rsid w:val="004C1763"/>
    <w:rsid w:val="004F0CD5"/>
    <w:rsid w:val="005753C9"/>
    <w:rsid w:val="005944FC"/>
    <w:rsid w:val="00595FCA"/>
    <w:rsid w:val="005A5CDB"/>
    <w:rsid w:val="006422E3"/>
    <w:rsid w:val="00692A80"/>
    <w:rsid w:val="006A0B31"/>
    <w:rsid w:val="0074179F"/>
    <w:rsid w:val="007902DC"/>
    <w:rsid w:val="007A357A"/>
    <w:rsid w:val="0080525E"/>
    <w:rsid w:val="00821E82"/>
    <w:rsid w:val="008344D9"/>
    <w:rsid w:val="00847CA2"/>
    <w:rsid w:val="008A173B"/>
    <w:rsid w:val="008E0984"/>
    <w:rsid w:val="009E1C72"/>
    <w:rsid w:val="009E333A"/>
    <w:rsid w:val="00A24FF7"/>
    <w:rsid w:val="00A423F4"/>
    <w:rsid w:val="00A67FAE"/>
    <w:rsid w:val="00A820E3"/>
    <w:rsid w:val="00AC544A"/>
    <w:rsid w:val="00AD1615"/>
    <w:rsid w:val="00AE1D09"/>
    <w:rsid w:val="00BD7B58"/>
    <w:rsid w:val="00C720BB"/>
    <w:rsid w:val="00C80F80"/>
    <w:rsid w:val="00C82F2C"/>
    <w:rsid w:val="00CE5814"/>
    <w:rsid w:val="00CF13EB"/>
    <w:rsid w:val="00D748EE"/>
    <w:rsid w:val="00D90C7F"/>
    <w:rsid w:val="00DB321F"/>
    <w:rsid w:val="00DB7379"/>
    <w:rsid w:val="00DD7408"/>
    <w:rsid w:val="00DF1261"/>
    <w:rsid w:val="00E64976"/>
    <w:rsid w:val="00E676F7"/>
    <w:rsid w:val="00ED3B18"/>
    <w:rsid w:val="00F132AE"/>
    <w:rsid w:val="00FB4FE3"/>
    <w:rsid w:val="00FF480D"/>
    <w:rsid w:val="0B6F7303"/>
    <w:rsid w:val="0CE40585"/>
    <w:rsid w:val="0FC73CF0"/>
    <w:rsid w:val="124C7D65"/>
    <w:rsid w:val="16A6065A"/>
    <w:rsid w:val="18064FA7"/>
    <w:rsid w:val="18132671"/>
    <w:rsid w:val="1E535BCC"/>
    <w:rsid w:val="1EF02DBA"/>
    <w:rsid w:val="28081174"/>
    <w:rsid w:val="29ED2056"/>
    <w:rsid w:val="2B9D7E25"/>
    <w:rsid w:val="2CD86C3B"/>
    <w:rsid w:val="30050AC8"/>
    <w:rsid w:val="3143321D"/>
    <w:rsid w:val="3586192A"/>
    <w:rsid w:val="3C432323"/>
    <w:rsid w:val="3D2F0AF9"/>
    <w:rsid w:val="3E1A4D84"/>
    <w:rsid w:val="3FBBDA45"/>
    <w:rsid w:val="415705E2"/>
    <w:rsid w:val="41B94E35"/>
    <w:rsid w:val="43566DE0"/>
    <w:rsid w:val="47071C74"/>
    <w:rsid w:val="47302C11"/>
    <w:rsid w:val="4AC26B09"/>
    <w:rsid w:val="4F8920AE"/>
    <w:rsid w:val="52E76EBB"/>
    <w:rsid w:val="57AFB210"/>
    <w:rsid w:val="57D31F00"/>
    <w:rsid w:val="596D2336"/>
    <w:rsid w:val="5C1F025F"/>
    <w:rsid w:val="618F0631"/>
    <w:rsid w:val="6403754E"/>
    <w:rsid w:val="64C8342B"/>
    <w:rsid w:val="65BA4B55"/>
    <w:rsid w:val="66F23A66"/>
    <w:rsid w:val="683E7CBF"/>
    <w:rsid w:val="690E06B4"/>
    <w:rsid w:val="69877C37"/>
    <w:rsid w:val="6A6136E2"/>
    <w:rsid w:val="70422F15"/>
    <w:rsid w:val="72631253"/>
    <w:rsid w:val="726F651E"/>
    <w:rsid w:val="75624778"/>
    <w:rsid w:val="77334F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0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line="360" w:lineRule="auto"/>
    </w:pPr>
    <w:rPr>
      <w:rFonts w:hint="eastAsia" w:ascii="黑体"/>
      <w:b/>
      <w:sz w:val="24"/>
    </w:rPr>
  </w:style>
  <w:style w:type="paragraph" w:styleId="4">
    <w:name w:val="Balloon Text"/>
    <w:basedOn w:val="1"/>
    <w:link w:val="9"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批注框文本 Char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link w:val="5"/>
    <w:qFormat/>
    <w:uiPriority w:val="0"/>
    <w:rPr>
      <w:kern w:val="2"/>
      <w:sz w:val="18"/>
      <w:szCs w:val="18"/>
    </w:rPr>
  </w:style>
  <w:style w:type="character" w:customStyle="1" w:styleId="11">
    <w:name w:val="页眉 Char"/>
    <w:link w:val="6"/>
    <w:qFormat/>
    <w:uiPriority w:val="0"/>
    <w:rPr>
      <w:kern w:val="2"/>
      <w:sz w:val="18"/>
      <w:szCs w:val="18"/>
    </w:rPr>
  </w:style>
  <w:style w:type="paragraph" w:customStyle="1" w:styleId="12">
    <w:name w:val="列表段落1"/>
    <w:basedOn w:val="1"/>
    <w:qFormat/>
    <w:uiPriority w:val="0"/>
    <w:rPr>
      <w:szCs w:val="22"/>
    </w:rPr>
  </w:style>
  <w:style w:type="character" w:customStyle="1" w:styleId="13">
    <w:name w:val="页脚 字符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3</Pages>
  <Words>196</Words>
  <Characters>1121</Characters>
  <Lines>9</Lines>
  <Paragraphs>2</Paragraphs>
  <TotalTime>1</TotalTime>
  <ScaleCrop>false</ScaleCrop>
  <LinksUpToDate>false</LinksUpToDate>
  <CharactersWithSpaces>1315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2022-09-10T00:59:00Z</dcterms:created>
  <dc:creator>dell</dc:creator>
  <cp:lastModifiedBy> </cp:lastModifiedBy>
  <cp:lastPrinted>2022-09-14T00:20:00Z</cp:lastPrinted>
  <dcterms:modified xsi:type="dcterms:W3CDTF">2022-09-15T10:06:12Z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D981F8CBE9574B29B06F8732C199FD40</vt:lpwstr>
  </property>
</Properties>
</file>